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3A545">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78" w:lineRule="exact"/>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附件6</w:t>
      </w:r>
    </w:p>
    <w:p w14:paraId="29277A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13F0D3A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有关政策解释</w:t>
      </w:r>
    </w:p>
    <w:p w14:paraId="46437884">
      <w:pPr>
        <w:pStyle w:val="2"/>
        <w:keepNext w:val="0"/>
        <w:keepLines w:val="0"/>
        <w:pageBreakBefore w:val="0"/>
        <w:widowControl w:val="0"/>
        <w:kinsoku/>
        <w:wordWrap/>
        <w:overflowPunct/>
        <w:topLinePunct w:val="0"/>
        <w:bidi w:val="0"/>
        <w:snapToGrid/>
        <w:spacing w:line="578" w:lineRule="exact"/>
        <w:textAlignment w:val="auto"/>
        <w:rPr>
          <w:rFonts w:hint="default"/>
          <w:sz w:val="32"/>
          <w:szCs w:val="32"/>
          <w:highlight w:val="none"/>
          <w:lang w:val="en-US" w:eastAsia="zh-CN"/>
        </w:rPr>
      </w:pPr>
    </w:p>
    <w:p w14:paraId="28619320">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1.关于报废年限：</w:t>
      </w:r>
      <w:r>
        <w:rPr>
          <w:rFonts w:hint="eastAsia" w:ascii="仿宋_GB2312" w:hAnsi="仿宋_GB2312" w:eastAsia="仿宋_GB2312" w:cs="仿宋_GB2312"/>
          <w:color w:val="000000"/>
          <w:kern w:val="0"/>
          <w:sz w:val="32"/>
          <w:szCs w:val="32"/>
          <w:highlight w:val="none"/>
          <w:lang w:val="en-US" w:eastAsia="zh-CN"/>
        </w:rPr>
        <w:t>若农机未达到报废年限，机主自愿申请报废的，以机主的承诺为准。</w:t>
      </w:r>
    </w:p>
    <w:p w14:paraId="23B95A73">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2.关于报废条件：</w:t>
      </w:r>
      <w:r>
        <w:rPr>
          <w:rFonts w:hint="eastAsia" w:ascii="仿宋_GB2312" w:hAnsi="仿宋_GB2312" w:eastAsia="仿宋_GB2312" w:cs="仿宋_GB2312"/>
          <w:color w:val="000000"/>
          <w:kern w:val="0"/>
          <w:sz w:val="32"/>
          <w:szCs w:val="32"/>
          <w:highlight w:val="none"/>
          <w:lang w:val="en-US" w:eastAsia="zh-CN"/>
        </w:rPr>
        <w:t>拟申请报废的农机，原则上机体应具有铭牌、出厂编号、发动机号、底盘（车架）号四者至少之一，能够确定机具的唯一性和补贴额，否则视为不符合报废条件。</w:t>
      </w:r>
    </w:p>
    <w:p w14:paraId="69F614D9">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3.关于牌证管理：</w:t>
      </w:r>
      <w:r>
        <w:rPr>
          <w:rFonts w:hint="eastAsia" w:ascii="仿宋_GB2312" w:hAnsi="仿宋_GB2312" w:eastAsia="仿宋_GB2312" w:cs="仿宋_GB2312"/>
          <w:color w:val="000000"/>
          <w:kern w:val="0"/>
          <w:sz w:val="32"/>
          <w:szCs w:val="32"/>
          <w:highlight w:val="none"/>
          <w:lang w:val="en-US" w:eastAsia="zh-CN"/>
        </w:rPr>
        <w:t>无牌证农机，是指应纳入牌证管理、但未办理牌证的拖拉机和联合收割机。未纳入牌证管理农机</w:t>
      </w:r>
      <w:r>
        <w:rPr>
          <w:rFonts w:hint="default" w:ascii="仿宋_GB2312" w:hAnsi="仿宋_GB2312" w:eastAsia="仿宋_GB2312" w:cs="仿宋_GB2312"/>
          <w:color w:val="000000"/>
          <w:kern w:val="0"/>
          <w:sz w:val="32"/>
          <w:szCs w:val="32"/>
          <w:highlight w:val="none"/>
          <w:lang w:val="en-US" w:eastAsia="zh-CN"/>
        </w:rPr>
        <w:t>,</w:t>
      </w:r>
      <w:r>
        <w:rPr>
          <w:rFonts w:hint="eastAsia" w:ascii="仿宋_GB2312" w:hAnsi="仿宋_GB2312" w:eastAsia="仿宋_GB2312" w:cs="仿宋_GB2312"/>
          <w:color w:val="000000"/>
          <w:kern w:val="0"/>
          <w:sz w:val="32"/>
          <w:szCs w:val="32"/>
          <w:highlight w:val="none"/>
          <w:lang w:val="en-US" w:eastAsia="zh-CN"/>
        </w:rPr>
        <w:t>是指拖拉机和联合收割机以外的其他农机。</w:t>
      </w:r>
    </w:p>
    <w:p w14:paraId="7C4A99C3">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4.关于牌证注销：</w:t>
      </w:r>
      <w:r>
        <w:rPr>
          <w:rFonts w:hint="eastAsia" w:ascii="仿宋_GB2312" w:hAnsi="仿宋_GB2312" w:eastAsia="仿宋_GB2312" w:cs="仿宋_GB2312"/>
          <w:color w:val="000000"/>
          <w:kern w:val="0"/>
          <w:sz w:val="32"/>
          <w:szCs w:val="32"/>
          <w:highlight w:val="none"/>
          <w:lang w:val="en-US" w:eastAsia="zh-CN"/>
        </w:rPr>
        <w:t>纳入牌证管理且具备注销条件的农机（指机主为牌证登记人，且所需证件完整，能够在当地农机牌证管理机构进行牌证注销的拖拉机和联合收割机），</w:t>
      </w:r>
      <w:r>
        <w:rPr>
          <w:rFonts w:hint="default" w:ascii="仿宋_GB2312" w:hAnsi="仿宋_GB2312" w:eastAsia="仿宋_GB2312" w:cs="仿宋_GB2312"/>
          <w:color w:val="000000"/>
          <w:kern w:val="0"/>
          <w:sz w:val="32"/>
          <w:szCs w:val="32"/>
          <w:highlight w:val="none"/>
          <w:lang w:val="en-US" w:eastAsia="zh-CN"/>
        </w:rPr>
        <w:t>应在报废农机拆解前</w:t>
      </w:r>
      <w:r>
        <w:rPr>
          <w:rFonts w:hint="eastAsia" w:ascii="仿宋_GB2312" w:hAnsi="仿宋_GB2312" w:eastAsia="仿宋_GB2312" w:cs="仿宋_GB2312"/>
          <w:color w:val="000000"/>
          <w:kern w:val="0"/>
          <w:sz w:val="32"/>
          <w:szCs w:val="32"/>
          <w:highlight w:val="none"/>
          <w:lang w:val="en-US" w:eastAsia="zh-CN"/>
        </w:rPr>
        <w:t>按相关规定办理牌证注销。</w:t>
      </w:r>
    </w:p>
    <w:p w14:paraId="1C9F062B">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纳入牌证管理但不具备注销条件的农机（指因农机转卖等原因，导致难以在当地农机牌证管理机构进行牌证注销的拖拉机和联合收割机），由机主在《农机来源合法承诺书》下方备注具体原因并按手印确认，可视同无牌证处理。</w:t>
      </w:r>
    </w:p>
    <w:p w14:paraId="19215CD0">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无牌证或未纳入牌证管理的农机，县级农机化部门在确认农机拆解完成后，在《报废农业机械回收确认表》相应栏目内签注“无牌证或未纳入牌证管理，已确认拆解”，并签章。</w:t>
      </w:r>
    </w:p>
    <w:p w14:paraId="48B515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楷体_GB2312" w:hAnsi="楷体_GB2312" w:eastAsia="楷体_GB2312" w:cs="楷体_GB2312"/>
          <w:b w:val="0"/>
          <w:bCs w:val="0"/>
          <w:color w:val="000000"/>
          <w:kern w:val="0"/>
          <w:sz w:val="32"/>
          <w:szCs w:val="32"/>
          <w:highlight w:val="none"/>
          <w:lang w:val="en-US" w:eastAsia="zh-CN" w:bidi="ar-SA"/>
        </w:rPr>
        <w:t>5.</w:t>
      </w:r>
      <w:r>
        <w:rPr>
          <w:rFonts w:hint="eastAsia" w:ascii="仿宋_GB2312" w:hAnsi="仿宋_GB2312" w:eastAsia="仿宋_GB2312" w:cs="仿宋_GB2312"/>
          <w:color w:val="000000"/>
          <w:kern w:val="0"/>
          <w:sz w:val="32"/>
          <w:szCs w:val="32"/>
          <w:highlight w:val="none"/>
          <w:lang w:val="en-US" w:eastAsia="zh-CN"/>
        </w:rPr>
        <w:t>无牌证</w:t>
      </w:r>
      <w:r>
        <w:rPr>
          <w:rFonts w:hint="eastAsia" w:ascii="仿宋_GB2312" w:hAnsi="仿宋_GB2312" w:eastAsia="仿宋_GB2312" w:cs="仿宋_GB2312"/>
          <w:color w:val="000000"/>
          <w:kern w:val="0"/>
          <w:sz w:val="32"/>
          <w:szCs w:val="32"/>
          <w:highlight w:val="none"/>
          <w:lang w:val="en-US" w:eastAsia="zh-CN" w:bidi="ar-SA"/>
        </w:rPr>
        <w:t>农机拆解完成后，县级农机化部门应分期、分批将报废农机信息通报同级农机牌证管理机构，由其按相关规定处理。</w:t>
      </w:r>
    </w:p>
    <w:p w14:paraId="3D981AE8">
      <w:bookmarkStart w:id="0" w:name="_GoBack"/>
      <w:bookmarkEnd w:id="0"/>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942F8"/>
    <w:rsid w:val="5189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2026-01-05T08:48:00Z</dcterms:created>
  <dc:creator>抖抖</dc:creator>
  <cp:lastModifiedBy>抖抖</cp:lastModifiedBy>
  <dcterms:modified xsi:type="dcterms:W3CDTF">2026-01-05T08:48:43Z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3F6E9F5868FB4A1C9878BDAF338DB194_11</vt:lpwstr>
  </property>
  <property fmtid="{D5CDD505-2E9C-101B-9397-08002B2CF9AE}" pid="4" name="KSOTemplateDocerSaveRecord">
    <vt:lpwstr>eyJoZGlkIjoiMGYzMjQ5ZDU5ZjU3MTA2NzY0MjI3NzgzMDFlZDEzMzciLCJ1c2VySWQiOiIyNDUxNTY5MTUifQ==</vt:lpwstr>
  </property>
</Properties>
</file>